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E1" w:rsidRPr="00F33AE1" w:rsidRDefault="00F33AE1" w:rsidP="00F33AE1">
      <w:pPr>
        <w:spacing w:after="0" w:line="20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</w:t>
      </w:r>
      <w:proofErr w:type="gramStart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ашары</w:t>
      </w:r>
      <w:proofErr w:type="spellEnd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Кашарского</w:t>
      </w:r>
      <w:proofErr w:type="spellEnd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Ростовской области</w:t>
      </w: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Кашарская</w:t>
      </w:r>
      <w:proofErr w:type="spellEnd"/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</w:t>
      </w:r>
    </w:p>
    <w:p w:rsidR="00F33AE1" w:rsidRPr="00F33AE1" w:rsidRDefault="00F33AE1" w:rsidP="00F33AE1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39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39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«Утверждаю»</w:t>
      </w:r>
    </w:p>
    <w:p w:rsidR="00F33AE1" w:rsidRPr="00F33AE1" w:rsidRDefault="00F33AE1" w:rsidP="00F33A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4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МБОУ </w:t>
      </w:r>
      <w:proofErr w:type="spellStart"/>
      <w:r w:rsidRPr="00F33A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Кашарской</w:t>
      </w:r>
      <w:proofErr w:type="spellEnd"/>
      <w:r w:rsidRPr="00F33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</w:t>
      </w:r>
    </w:p>
    <w:p w:rsidR="00F33AE1" w:rsidRPr="00F33AE1" w:rsidRDefault="00F33AE1" w:rsidP="00F33A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5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tabs>
          <w:tab w:val="left" w:pos="8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«31» 08.2020г. № 70</w:t>
      </w:r>
    </w:p>
    <w:p w:rsidR="00F33AE1" w:rsidRPr="00F33AE1" w:rsidRDefault="00F33AE1" w:rsidP="00F33AE1">
      <w:pPr>
        <w:tabs>
          <w:tab w:val="left" w:pos="8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5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tabs>
          <w:tab w:val="left" w:pos="7920"/>
        </w:tabs>
        <w:spacing w:after="0" w:line="240" w:lineRule="auto"/>
        <w:ind w:left="5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____________Губарев Д.И.</w:t>
      </w:r>
    </w:p>
    <w:p w:rsidR="00F33AE1" w:rsidRPr="00F33AE1" w:rsidRDefault="00F33AE1" w:rsidP="00F33AE1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AE1" w:rsidRPr="00F33AE1" w:rsidRDefault="00F33AE1" w:rsidP="00F33A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39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Рабочая программа курса дополнительного образования</w:t>
      </w:r>
    </w:p>
    <w:p w:rsidR="00F33AE1" w:rsidRPr="00F33AE1" w:rsidRDefault="00F33AE1" w:rsidP="00F33AE1">
      <w:pPr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3AE1" w:rsidRPr="00F33AE1" w:rsidRDefault="00F33AE1" w:rsidP="00F33AE1">
      <w:pPr>
        <w:spacing w:after="0" w:line="20" w:lineRule="exac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3AE1" w:rsidRPr="00F33AE1" w:rsidRDefault="00F33AE1" w:rsidP="00F33AE1">
      <w:pPr>
        <w:spacing w:after="0" w:line="23" w:lineRule="exac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3AE1" w:rsidRPr="00F33AE1" w:rsidRDefault="00F33AE1" w:rsidP="00F33AE1">
      <w:pPr>
        <w:tabs>
          <w:tab w:val="left" w:pos="3660"/>
        </w:tabs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«Шахматы»</w:t>
      </w:r>
    </w:p>
    <w:p w:rsidR="00F33AE1" w:rsidRPr="00F33AE1" w:rsidRDefault="00F33AE1" w:rsidP="00F33AE1">
      <w:pPr>
        <w:tabs>
          <w:tab w:val="left" w:pos="3660"/>
        </w:tabs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3AE1" w:rsidRPr="00F33AE1" w:rsidRDefault="00F33AE1" w:rsidP="00F33AE1">
      <w:pPr>
        <w:spacing w:after="0" w:line="52" w:lineRule="exac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3AE1" w:rsidRPr="00F33AE1" w:rsidRDefault="00F33AE1" w:rsidP="00F33AE1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на 2020-2021 учебный год</w:t>
      </w:r>
    </w:p>
    <w:p w:rsidR="00F33AE1" w:rsidRPr="00F33AE1" w:rsidRDefault="00F33AE1" w:rsidP="00F33AE1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3AE1" w:rsidRPr="00F33AE1" w:rsidRDefault="00F33AE1" w:rsidP="00F33AE1">
      <w:pPr>
        <w:spacing w:after="0" w:line="4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E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Уровень общего  образования  - 3</w:t>
      </w:r>
      <w:proofErr w:type="gramStart"/>
      <w:r w:rsidRPr="00F33AE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В</w:t>
      </w:r>
      <w:proofErr w:type="gramEnd"/>
      <w:r w:rsidRPr="00F33AE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класс</w:t>
      </w:r>
    </w:p>
    <w:p w:rsidR="00F33AE1" w:rsidRPr="00F33AE1" w:rsidRDefault="00F33AE1" w:rsidP="00F33A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7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40" w:lineRule="auto"/>
        <w:ind w:left="2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Количество часов</w:t>
      </w:r>
      <w:proofErr w:type="gramStart"/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33 часа (1 час в неделю)</w:t>
      </w:r>
    </w:p>
    <w:p w:rsidR="00F33AE1" w:rsidRPr="00F33AE1" w:rsidRDefault="00F33AE1" w:rsidP="00F33AE1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5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240" w:lineRule="auto"/>
        <w:ind w:left="2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Учитель: </w:t>
      </w:r>
      <w:proofErr w:type="spellStart"/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>Семерентьева</w:t>
      </w:r>
      <w:proofErr w:type="spellEnd"/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И.А.</w:t>
      </w:r>
    </w:p>
    <w:p w:rsidR="00F33AE1" w:rsidRPr="00F33AE1" w:rsidRDefault="00F33AE1" w:rsidP="00F33AE1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5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0" w:line="5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AE1" w:rsidRPr="00F33AE1" w:rsidRDefault="00F33AE1" w:rsidP="00F33AE1">
      <w:pPr>
        <w:spacing w:after="150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Направленность: </w:t>
      </w:r>
      <w:proofErr w:type="gramStart"/>
      <w:r w:rsidRPr="00F33AE1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социально-гуманитарное</w:t>
      </w:r>
      <w:proofErr w:type="gramEnd"/>
    </w:p>
    <w:p w:rsidR="00F33AE1" w:rsidRPr="00F33AE1" w:rsidRDefault="00F33AE1" w:rsidP="00F33AE1">
      <w:pPr>
        <w:spacing w:after="150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3AE1" w:rsidRPr="00F33AE1" w:rsidRDefault="00F33AE1" w:rsidP="00F33AE1">
      <w:pPr>
        <w:spacing w:after="150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3AE1" w:rsidRPr="00F33AE1" w:rsidRDefault="00F33AE1" w:rsidP="00F33AE1">
      <w:pPr>
        <w:spacing w:after="150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3AE1" w:rsidRPr="00F33AE1" w:rsidRDefault="00F33AE1" w:rsidP="00F33AE1">
      <w:pPr>
        <w:spacing w:after="150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3AE1" w:rsidRPr="00F33AE1" w:rsidRDefault="00F33AE1" w:rsidP="00F33AE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курса дополнительного образования «Шахматы» составлена на основе примерной программы внеурочной деятельности (начальное и основное общее образование) Горский В.А., Тимофеев А.А., Смирнов Д.В. и др./Под ред. Горского Д.В. Примерные программы внеурочной деятельности. Начальное и основное образование (Стандарты второго поколения) М.: Просвещение, 2014.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 курса «Шахматы» позволяет реализовать многие позитивные идеи отечественных теоретиков и практиков - сделать обучение радостным, поддерживать устойчивый интерес к знаниям.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игре в шахматы с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Шахматы по своей природе остаются, прежде всего, игрой. И ученик, особенно в начале обучения, воспринимает их именно как игру. Сейчас шахматы стали профессиональным видом спорта, к тому же все детские соревнования носят спортивную направленность. Поэтому развитие личности ребенка происходит через шахматную игру в ее спортивной форме. Спорт вырабатывает в человеке ряд необходимых и требуемых в обществе качеств: целеустремленность, волю, выносливость, терпение, способность к концентрации внимания, смелость, расчет, умение быстро и правильно принимать решения в меняющейся обстановке и </w:t>
      </w:r>
      <w:proofErr w:type="spell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ахматы</w:t>
      </w:r>
      <w:proofErr w:type="spell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сочетающие в себе также элементы науки и искусства, могут вырабатывать в учащихся эти черты более эффективно, чем другие виды спорта. Формирование этих качеств нуждается, безусловно, в мотивации,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Шахматы это не только игра, доставляющая ученикам много радости, удовольствия, но и действенное эффективное средство их умственного развития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внутреннего плана действий</w:t>
      </w: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действовать в уме.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в шахматы развивает наглядно-образное мышление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зарождению логического мышления, воспитывает усидчивость, вдумчивость, целеустремленность. Ученик, обучающийся этой игре, становится </w:t>
      </w:r>
      <w:proofErr w:type="spell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собраннее</w:t>
      </w:r>
      <w:proofErr w:type="spell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самокритичнее, привыкает самостоятельно думать, принимать решения, бороться до конца, не унывать при неудачах. Экспериментально же было подтверждено, что дети, вовлеченные в волшебный мир шахмат, лучше успевают в школе, а так же положительно влияют на совершенствование у 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 раскрытию их творческих способностей. Древние мудрецы сформулировали суть шахмат так: «Разумом одерживать победу».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Шахматные игры развивают такой комплекс наиважнейших качеств, что с давних пор приобрели особую социальную значимост</w:t>
      </w: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один из самых лучших и увлекательных видов досуга, когда-либо придуманных человечеством.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актуальность данной программы состоит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 и обусловлена многими причинами: рост нервно-эмоциональных перегрузок, увеличение педагогически запущенных детей.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современной концепции общего образования лежит идея развития личности ребёнка, формирование его творческих способностей, воспитание важных личностных качеств. Всему этому и многому другому способствует процесс обучения игре в шахматы.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заставляет нас на каждом шагу отстаивать правильность своих воззрений, поступать решительно, проявлять в зависимости от обстоятельств выдержку и твердость, осторожность и смелость, умение фантазировать и умение смирять фантазию. И всё это же самое требуется в шахматах. Они многогранны и обладают огромным эмоциональным потенциалом, дарят «упоение в борьбе», но и одновременно требуют умения мобилизовать, и концентрировать внимание, ценить время, сохранять выдержку</w:t>
      </w:r>
      <w:r w:rsidRPr="00F33AE1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, 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ложь и правду, критически относиться не только к сопернику, но и к самому себе.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они сочетают в себе элементы искусства, науки и спорта. Соприкосновение с этими важными областями общечеловеческой культуры вызывает в душе ребенка позитивный отклик, способствует гармоничному развитию. Кроме этого, шахматы являются большой школой творчества для детей, это уникальный инструмент развития их творческого мышления.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 ПРОГРАММЫ: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ЗАДАЧИ: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Обучающие:</w:t>
      </w:r>
    </w:p>
    <w:p w:rsidR="00F33AE1" w:rsidRPr="00F33AE1" w:rsidRDefault="00F33AE1" w:rsidP="00F33AE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элементарными понятиями шахматной игры;</w:t>
      </w:r>
    </w:p>
    <w:p w:rsidR="00F33AE1" w:rsidRPr="00F33AE1" w:rsidRDefault="00F33AE1" w:rsidP="00F33AE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овладеть приёмами тактики и стратегии шахматной игры;</w:t>
      </w:r>
    </w:p>
    <w:p w:rsidR="00F33AE1" w:rsidRPr="00F33AE1" w:rsidRDefault="00F33AE1" w:rsidP="00F33AE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воспитанников играть шахматную партию с записью;</w:t>
      </w:r>
    </w:p>
    <w:p w:rsidR="00F33AE1" w:rsidRPr="00F33AE1" w:rsidRDefault="00F33AE1" w:rsidP="00F33AE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обучить решать комбинации на разные темы;</w:t>
      </w:r>
    </w:p>
    <w:p w:rsidR="00F33AE1" w:rsidRPr="00F33AE1" w:rsidRDefault="00F33AE1" w:rsidP="00F33AE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учащихся самостоятельно анализировать позицию, через формирование умения решать комбинации на различные темы;</w:t>
      </w:r>
    </w:p>
    <w:p w:rsidR="00F33AE1" w:rsidRPr="00F33AE1" w:rsidRDefault="00F33AE1" w:rsidP="00F33AE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видеть в позиции разные варианты.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F33AE1" w:rsidRPr="00F33AE1" w:rsidRDefault="00F33AE1" w:rsidP="00F33AE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фантазию, логическое и аналитическое мышление, память, внимательность, усидчивость;</w:t>
      </w:r>
    </w:p>
    <w:p w:rsidR="00F33AE1" w:rsidRPr="00F33AE1" w:rsidRDefault="00F33AE1" w:rsidP="00F33AE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интерес к истории происхождения шахмат и творчества шахматных мастеров;</w:t>
      </w:r>
    </w:p>
    <w:p w:rsidR="00F33AE1" w:rsidRPr="00F33AE1" w:rsidRDefault="00F33AE1" w:rsidP="00F33AE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анализировать и делать выводы;</w:t>
      </w:r>
    </w:p>
    <w:p w:rsidR="00F33AE1" w:rsidRPr="00F33AE1" w:rsidRDefault="00F33AE1" w:rsidP="00F33AE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творческой активности;</w:t>
      </w:r>
    </w:p>
    <w:p w:rsidR="00F33AE1" w:rsidRPr="00F33AE1" w:rsidRDefault="00F33AE1" w:rsidP="00F33AE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волевые качества личности.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F33AE1" w:rsidRPr="00F33AE1" w:rsidRDefault="00F33AE1" w:rsidP="00F33AE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уважения к партнёру, самодисциплину, умение владеть собой и добиваться цели;</w:t>
      </w:r>
    </w:p>
    <w:p w:rsidR="00F33AE1" w:rsidRPr="00F33AE1" w:rsidRDefault="00F33AE1" w:rsidP="00F33AE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правильное поведение во время игры;</w:t>
      </w:r>
    </w:p>
    <w:p w:rsidR="00F33AE1" w:rsidRPr="00F33AE1" w:rsidRDefault="00F33AE1" w:rsidP="00F33AE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ответственности и взаимопомощи;</w:t>
      </w:r>
    </w:p>
    <w:p w:rsidR="00F33AE1" w:rsidRPr="00F33AE1" w:rsidRDefault="00F33AE1" w:rsidP="00F33AE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целеустремлённость, трудолюбие.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рассчитана на четыре года обучения, состоящего из двух этапов.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ОТЛИЧИТЕЛЬНЫЕ ОСОБЕННОСТИ ПРОГРАММЫ: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1 год обучения из расчета 1 часа в неделю. Всего: 34 часов в год.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ПРОГРАММА ПРЕДУСМАТРИВАЕТ ТЕОРЕТИЧЕСКИЕ И ПРАКТИЧЕСКИЕ ЗАНЯТИЯ:</w:t>
      </w:r>
    </w:p>
    <w:p w:rsidR="00F33AE1" w:rsidRPr="00F33AE1" w:rsidRDefault="00F33AE1" w:rsidP="00F33AE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(знакомство с шахматами, изучение каждой фигуры, ее роль, функции);</w:t>
      </w:r>
    </w:p>
    <w:p w:rsidR="00F33AE1" w:rsidRPr="00F33AE1" w:rsidRDefault="00F33AE1" w:rsidP="00F33AE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(непосредственно шахматная игра, соревнования в группе).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ФОРМЫ И ВИДЫ РАБОТЫ: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работа;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парах;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работа;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игра;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шахматных задач, комбинаций и этюдов.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 и задания, игровые упражнения;</w:t>
      </w:r>
    </w:p>
    <w:p w:rsidR="00F33AE1" w:rsidRPr="00F33AE1" w:rsidRDefault="00F33AE1" w:rsidP="00F33AE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занятия, шахматные игры, шахматные дидактические игрушки.</w:t>
      </w:r>
    </w:p>
    <w:p w:rsidR="00F33AE1" w:rsidRPr="00F33AE1" w:rsidRDefault="00F33AE1" w:rsidP="00F33AE1">
      <w:pPr>
        <w:shd w:val="clear" w:color="auto" w:fill="FFFFFF"/>
        <w:spacing w:after="150" w:line="240" w:lineRule="auto"/>
        <w:ind w:left="1080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турнирах и соревнованиях.</w:t>
      </w:r>
      <w:r w:rsidRPr="00F33AE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F33AE1" w:rsidRPr="00F33AE1" w:rsidRDefault="00F33AE1" w:rsidP="00F33AE1">
      <w:pPr>
        <w:shd w:val="clear" w:color="auto" w:fill="FFFFFF"/>
        <w:spacing w:after="150" w:line="240" w:lineRule="auto"/>
        <w:ind w:left="1080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33AE1" w:rsidRPr="00F33AE1" w:rsidRDefault="00F33AE1" w:rsidP="00F33AE1">
      <w:pPr>
        <w:numPr>
          <w:ilvl w:val="0"/>
          <w:numId w:val="1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Результаты освоения курса дополнительного образования</w:t>
      </w:r>
    </w:p>
    <w:p w:rsidR="00F33AE1" w:rsidRPr="00F33AE1" w:rsidRDefault="00F33AE1" w:rsidP="00F33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</w:t>
      </w:r>
      <w:r w:rsidRPr="00F33A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концу учебного курса дети научатся: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ориентироваться на шахматной доске;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помещать шахматную доску между партнерами;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расставлять фигуры перед игрой;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горизонталь, вертикаль, диагональ;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рокировать;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объявлять шах;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мат;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элементарные задачи на мат в один ход.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 шахматную партию;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матовать одинокого короля двумя ладьями, ферзем и ладьей, королем и ферзем, королем и ладьей;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элементарные комбинации.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грамотно располагать шахматные фигуры в дебюте; находить несложные тактические удары и проводить комбинации;</w:t>
      </w:r>
    </w:p>
    <w:p w:rsidR="00F33AE1" w:rsidRPr="00F33AE1" w:rsidRDefault="00F33AE1" w:rsidP="00F33AE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 разыгрывать простейшие окончания.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Выпускник получит возможность научиться: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F33AE1" w:rsidRPr="00F33AE1" w:rsidRDefault="00F33AE1" w:rsidP="00F33AE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обучающиеся научатся</w:t>
      </w:r>
    </w:p>
    <w:p w:rsidR="00F33AE1" w:rsidRPr="00F33AE1" w:rsidRDefault="00F33AE1" w:rsidP="00F33AE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шахматную доску и ее структуру;</w:t>
      </w:r>
    </w:p>
    <w:p w:rsidR="00F33AE1" w:rsidRPr="00F33AE1" w:rsidRDefault="00F33AE1" w:rsidP="00F33AE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полей линий;</w:t>
      </w:r>
    </w:p>
    <w:p w:rsidR="00F33AE1" w:rsidRPr="00F33AE1" w:rsidRDefault="00F33AE1" w:rsidP="00F33AE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ходы и взятия всех фигур, рокировку;</w:t>
      </w:r>
    </w:p>
    <w:p w:rsidR="00F33AE1" w:rsidRPr="00F33AE1" w:rsidRDefault="00F33AE1" w:rsidP="00F33AE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шахматные понятия (шах, мат, пат, выигрыш, ничья, ударность и подвижность фигур, ценность фигур, угроза, нападение, защита, три стадии шахматной партии, развитие и др.);</w:t>
      </w:r>
      <w:proofErr w:type="gramEnd"/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выпускник </w:t>
      </w:r>
      <w:proofErr w:type="gramStart"/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получит возможность научится</w:t>
      </w:r>
      <w:proofErr w:type="gramEnd"/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партию от начала до конца по шахматным правилам;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 партии и позиции, разыгрывать партии по записи;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мат в один ход в любых задачах такого типа;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количество материала каждой из сторон и определять наличие материального перевеса;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планировать, контролировать и оценивать действия соперников;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общую цель и пути ее достижения;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лабиринтные задачи (маршруты фигур) на шахматном материале.</w:t>
      </w:r>
    </w:p>
    <w:p w:rsidR="00F33AE1" w:rsidRPr="00F33AE1" w:rsidRDefault="00F33AE1" w:rsidP="00F33AE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Конечным результатом обучения</w:t>
      </w:r>
      <w:r w:rsidRPr="00F33A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считается умение сыграть по правилам шахматную партию от начала до конца. Это предполагает определенную прочность знаний и умение применять их на практике.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Применяемые методы педагогического контроля и наблюдения, позволяют контролировать и корректировать работу программы на всём её протяжении и реализации. Это дает возможность отслеживать динамику роста знаний, умений и навыков, позволяет строить для каждого ребенка его индивидуальный путь развития. На основе полученной информации педагог </w:t>
      </w: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вносит соответствующие коррективы в учебный процесс. Контроль эффективности осуществляется при выполнении диагностических заданий и упражнений, с помощью типичных шахматных задач, фронтальных и индивидуальных опросов, наблюдений. Промежуточная аттестация проводится в торжественной соревновательной обстановке в виде шахматной игры.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И МЕТАПРЕДМЕТНЫЕ РЕЗУЛЬТАТЫ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F33AE1" w:rsidRPr="00F33AE1" w:rsidRDefault="00F33AE1" w:rsidP="00F33AE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свое поведение и поведение окружающих.</w:t>
      </w:r>
    </w:p>
    <w:p w:rsidR="00F33AE1" w:rsidRPr="00F33AE1" w:rsidRDefault="00F33AE1" w:rsidP="00F33AE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уважительное отношение к иному мнению.</w:t>
      </w:r>
    </w:p>
    <w:p w:rsidR="00F33AE1" w:rsidRPr="00F33AE1" w:rsidRDefault="00F33AE1" w:rsidP="00F33AE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понимать свою роль, развивать самостоятельность и ответственность.</w:t>
      </w:r>
    </w:p>
    <w:p w:rsidR="00F33AE1" w:rsidRPr="00F33AE1" w:rsidRDefault="00F33AE1" w:rsidP="00F33AE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навыки сотрудничества </w:t>
      </w: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сверстниками.</w:t>
      </w:r>
    </w:p>
    <w:p w:rsidR="00F33AE1" w:rsidRPr="00F33AE1" w:rsidRDefault="00F33AE1" w:rsidP="00F33AE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относиться бережно к материальным и духовным ценностям.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начальные формы познавательной и личностной рефлексии.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Учиться использовать </w:t>
      </w:r>
      <w:proofErr w:type="spell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</w:t>
      </w:r>
      <w:proofErr w:type="spell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-символические средства представления информации.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способы поиска информации на заданную на кружке тему.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Собирать и обрабатывать материал, учится его передавать окружающим разными способами.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логическими действиями, устанавливать аналогии, строить рассуждения, овладевать новыми понятиями.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начальными сведениями об изучаемом объекте (шахматах)</w:t>
      </w:r>
    </w:p>
    <w:p w:rsidR="00F33AE1" w:rsidRPr="00F33AE1" w:rsidRDefault="00F33AE1" w:rsidP="00F33AE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работать в информационной среде по поиску данных изучаемого объекта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:rsidR="00F33AE1" w:rsidRPr="00F33AE1" w:rsidRDefault="00F33AE1" w:rsidP="00F33AE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использовать речевые средства в процессе общения с товарищами во время занятий.</w:t>
      </w:r>
    </w:p>
    <w:p w:rsidR="00F33AE1" w:rsidRPr="00F33AE1" w:rsidRDefault="00F33AE1" w:rsidP="00F33AE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слушать собеседника, напарника по игре, быть сдержанным, выслушивать замечания и мнение других людей, излагать и аргументировать свою точку зрения.</w:t>
      </w:r>
    </w:p>
    <w:p w:rsidR="00F33AE1" w:rsidRPr="00F33AE1" w:rsidRDefault="00F33AE1" w:rsidP="00F33AE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договариваться о распределении функций и ролей в совместной деятельности.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F33AE1" w:rsidRPr="00F33AE1" w:rsidRDefault="00F33AE1" w:rsidP="00F33AE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способностью принимать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сохранять цели и задачи занятия.</w:t>
      </w:r>
    </w:p>
    <w:p w:rsidR="00F33AE1" w:rsidRPr="00F33AE1" w:rsidRDefault="00F33AE1" w:rsidP="00F33AE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способы решения и осуществления поставленных задач.</w:t>
      </w:r>
    </w:p>
    <w:p w:rsidR="00F33AE1" w:rsidRPr="00F33AE1" w:rsidRDefault="00F33AE1" w:rsidP="00F33AE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контролировать свои действия.</w:t>
      </w:r>
    </w:p>
    <w:p w:rsidR="00F33AE1" w:rsidRPr="00F33AE1" w:rsidRDefault="00F33AE1" w:rsidP="00F33AE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понимать причины успеха и неуспеха своей деятельности.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3AE1" w:rsidRPr="00F33AE1" w:rsidRDefault="00F33AE1" w:rsidP="00F33AE1">
      <w:pPr>
        <w:numPr>
          <w:ilvl w:val="1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программы дополнительного образования</w:t>
      </w:r>
    </w:p>
    <w:tbl>
      <w:tblPr>
        <w:tblpPr w:leftFromText="180" w:rightFromText="180" w:vertAnchor="text" w:horzAnchor="page" w:tblpX="1093" w:tblpY="-1132"/>
        <w:tblW w:w="10485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0"/>
        <w:gridCol w:w="5383"/>
        <w:gridCol w:w="1275"/>
        <w:gridCol w:w="1417"/>
        <w:gridCol w:w="1700"/>
      </w:tblGrid>
      <w:tr w:rsidR="00F33AE1" w:rsidRPr="00F33AE1" w:rsidTr="00F33AE1">
        <w:trPr>
          <w:trHeight w:val="345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  <w:p w:rsidR="00F33AE1" w:rsidRPr="00F33AE1" w:rsidRDefault="00F33AE1" w:rsidP="00F33AE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курса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F33AE1" w:rsidRPr="00F33AE1" w:rsidRDefault="00F33AE1" w:rsidP="00F33AE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3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F33AE1" w:rsidRPr="00F33AE1" w:rsidTr="00F33AE1">
        <w:trPr>
          <w:trHeight w:val="1290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3AE1" w:rsidRPr="00F33AE1" w:rsidRDefault="00F33AE1" w:rsidP="00F3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3AE1" w:rsidRPr="00F33AE1" w:rsidRDefault="00F33AE1" w:rsidP="00F3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3AE1" w:rsidRPr="00F33AE1" w:rsidRDefault="00F33AE1" w:rsidP="00F3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фактически</w:t>
            </w: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игровым "полем".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Краткая история шахмат.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</w:t>
            </w:r>
          </w:p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64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Шахматные фигуры.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функциональные особенности фигур.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25.09</w:t>
            </w:r>
          </w:p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</w:t>
            </w:r>
          </w:p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 фигур в игре.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</w:t>
            </w:r>
          </w:p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</w:t>
            </w:r>
          </w:p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69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Техника </w:t>
            </w:r>
            <w:proofErr w:type="spellStart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матования</w:t>
            </w:r>
            <w:proofErr w:type="spellEnd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одинокого короля.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Миттельшпиль.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Эндшпиль.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Блиц-шахматы</w:t>
            </w:r>
            <w:proofErr w:type="gramEnd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Долгие шахматы.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4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мата.          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</w:t>
            </w:r>
          </w:p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 в один, два, </w:t>
            </w:r>
            <w:proofErr w:type="gramStart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и более ходов</w:t>
            </w:r>
            <w:proofErr w:type="gramEnd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6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постановку мата в несколько ходов.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15.01</w:t>
            </w:r>
          </w:p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"Детский" мат, рокировка.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Понятие о шахе. Способы защиты </w:t>
            </w:r>
            <w:proofErr w:type="gramStart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шаха. Открытый и двойной шахи.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Понятие о пате.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Сходства и различия понятий мата и пата.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Выигрыш, ничья, виды ничьей.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28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Шахматные комбинации.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Гамбиты, пункт f2 (f7)в дебюте.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6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Правила поведения при игре в шахматных турнирах.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</w:t>
            </w:r>
          </w:p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5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Король против нескольких фигур.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Ферзь против короля.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7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Ладья и ферзь против короля.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</w:t>
            </w:r>
          </w:p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4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Ферзь и конь против короля.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5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Параллельный мат.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4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в течение года.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07.05.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4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Эстетика шахматных комбинаций.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rPr>
          <w:trHeight w:val="34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240" w:lineRule="auto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Соревновния</w:t>
            </w:r>
            <w:proofErr w:type="spellEnd"/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«Белая ладья»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3AE1" w:rsidRPr="00F33AE1" w:rsidRDefault="00F33AE1" w:rsidP="00F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3AE1" w:rsidRPr="00F33AE1" w:rsidTr="00F33AE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33AE1" w:rsidRPr="00F33AE1" w:rsidRDefault="00F33AE1" w:rsidP="00F33AE1">
            <w:pPr>
              <w:spacing w:after="0" w:line="0" w:lineRule="atLeast"/>
              <w:ind w:left="4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 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3AE1" w:rsidRPr="00F33AE1" w:rsidRDefault="00F33AE1" w:rsidP="00F33AE1">
            <w:pPr>
              <w:spacing w:after="0" w:line="0" w:lineRule="atLeast"/>
              <w:ind w:left="4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33AE1" w:rsidRPr="00F33AE1" w:rsidRDefault="00F33AE1" w:rsidP="00F33AE1">
      <w:pPr>
        <w:shd w:val="clear" w:color="auto" w:fill="FFFFFF"/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Начальный курс по обучению игре в шахматы максимально прост и доступен начинающим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  обучения включает в себя следующие разделы: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Шахматная доска. Шахматные фигуры. Знакомство с игровым "полем".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 ч)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Краткая история шахмат. Знакомство с шахматами, первые чемпионы.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(1ч).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Шахматные фигуры. Основные функциональные особенности фигур. Их роль в игре.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(5 ч).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Техника </w:t>
      </w:r>
      <w:proofErr w:type="spell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матования</w:t>
      </w:r>
      <w:proofErr w:type="spell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одинокого короля. Миттельшпиль, эндшпиль, </w:t>
      </w: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блиц-шахматы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долгие шахматы.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(5 ч).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Достижение мата. Мат в один, два, </w:t>
      </w:r>
      <w:proofErr w:type="gramStart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и более ходов</w:t>
      </w:r>
      <w:proofErr w:type="gramEnd"/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Задачи на постановку мата в несколько ходов.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(10 ч).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Шахматные комбинации. Разнообразие шахматной игры. Рокировка, комбинации, ведущие к достижению материального перевеса, система защиты, атака, пешка и ее роль, разрушение королевского прикрытия, типичные комбинации в дебюте, патовые комбинации.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(8 ч)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Повторение изученного в течение года. Шахматные баталии. Соревнования в группе. </w:t>
      </w:r>
      <w:r w:rsidRPr="00F33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(4 ч).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обучающие плакаты, диаграммы задачи для самостоятельного решения, загадки, головоломки по темам, лабиринты на шахматной доске, кроссворды, ребусы, шахматное лото, викторины и др., решение которых дают не только информацию о какой-либо фигуре, но и представление об ее игровых возможностях и ограничениях. Кроме этого учащимся предлагаются темы для самостоятельного изучения: «Ферзь против пешки», «Ферзь против короля» и др., занимательные рассказы из истории шахмат, тесты для проверки полученных знаний.</w:t>
      </w: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t>IV</w:t>
      </w:r>
      <w:proofErr w:type="gramStart"/>
      <w:r w:rsidRPr="00F33A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  Календарно</w:t>
      </w:r>
      <w:proofErr w:type="gramEnd"/>
      <w:r w:rsidRPr="00F33A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-тематическое планирование курса дополнительного образования</w:t>
      </w:r>
    </w:p>
    <w:p w:rsidR="00F33AE1" w:rsidRPr="00F33AE1" w:rsidRDefault="00F33AE1" w:rsidP="00F33A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«Шахматы»</w:t>
      </w:r>
    </w:p>
    <w:p w:rsidR="00F33AE1" w:rsidRPr="00F33AE1" w:rsidRDefault="00F33AE1" w:rsidP="00F33A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на 2020– 2021 учебный год</w:t>
      </w:r>
    </w:p>
    <w:p w:rsidR="00F33AE1" w:rsidRPr="00F33AE1" w:rsidRDefault="00F33AE1" w:rsidP="00F33A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3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/>
          <w:bCs/>
          <w:color w:val="333333"/>
          <w:kern w:val="3"/>
          <w:sz w:val="28"/>
          <w:szCs w:val="28"/>
          <w:lang w:eastAsia="ru-RU"/>
        </w:rPr>
        <w:t>Согласовано:                                                          Согласовано:</w:t>
      </w:r>
    </w:p>
    <w:p w:rsidR="00F33AE1" w:rsidRPr="00F33AE1" w:rsidRDefault="00F33AE1" w:rsidP="00F33AE1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>Протокол заседания</w:t>
      </w:r>
      <w:proofErr w:type="gramStart"/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 xml:space="preserve">                                                З</w:t>
      </w:r>
      <w:proofErr w:type="gramEnd"/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>ам. директора по УВР</w:t>
      </w:r>
    </w:p>
    <w:p w:rsidR="00F33AE1" w:rsidRPr="00F33AE1" w:rsidRDefault="00F33AE1" w:rsidP="00F33AE1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 xml:space="preserve">Методического Совета                                           ________ </w:t>
      </w:r>
      <w:proofErr w:type="spellStart"/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>З.Р.Тращенко</w:t>
      </w:r>
      <w:proofErr w:type="spellEnd"/>
    </w:p>
    <w:p w:rsidR="00F33AE1" w:rsidRPr="00F33AE1" w:rsidRDefault="00F33AE1" w:rsidP="00F33AE1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 xml:space="preserve">МБОУ </w:t>
      </w:r>
      <w:proofErr w:type="spellStart"/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>Кашарская</w:t>
      </w:r>
      <w:proofErr w:type="spellEnd"/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 xml:space="preserve"> СОШ                                         «31» 08.2020 г.</w:t>
      </w: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>№1 от 31.08.2020 г.</w:t>
      </w: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  <w:r w:rsidRPr="00F33AE1"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  <w:t>________ М.А. Павлова</w:t>
      </w: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kern w:val="3"/>
          <w:sz w:val="28"/>
          <w:szCs w:val="28"/>
          <w:lang w:eastAsia="ru-RU"/>
        </w:rPr>
      </w:pPr>
    </w:p>
    <w:p w:rsidR="00F33AE1" w:rsidRPr="00F33AE1" w:rsidRDefault="00F33AE1" w:rsidP="00F33AE1">
      <w:pPr>
        <w:autoSpaceDN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3AE1">
        <w:rPr>
          <w:rFonts w:ascii="Times New Roman" w:eastAsia="Calibri" w:hAnsi="Times New Roman" w:cs="Times New Roman"/>
          <w:sz w:val="28"/>
          <w:szCs w:val="28"/>
        </w:rPr>
        <w:t>Лист внесения изменений в рабочую программу</w:t>
      </w:r>
    </w:p>
    <w:tbl>
      <w:tblPr>
        <w:tblW w:w="9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1842"/>
        <w:gridCol w:w="1842"/>
        <w:gridCol w:w="2550"/>
      </w:tblGrid>
      <w:tr w:rsidR="00F33AE1" w:rsidRPr="00F33AE1" w:rsidTr="00F33AE1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33A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Тема по КТП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33A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Дата по КТП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33A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Дата проведения по факту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33A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Пути корректировки </w:t>
            </w:r>
          </w:p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F33A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(сжатие, совмещение.) </w:t>
            </w:r>
          </w:p>
        </w:tc>
      </w:tr>
      <w:tr w:rsidR="00F33AE1" w:rsidRPr="00F33AE1" w:rsidTr="00F33AE1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AE1" w:rsidRPr="00F33AE1" w:rsidTr="00F33AE1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AE1" w:rsidRPr="00F33AE1" w:rsidTr="00F33AE1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AE1" w:rsidRPr="00F33AE1" w:rsidTr="00F33AE1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AE1" w:rsidRPr="00F33AE1" w:rsidTr="00F33AE1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AE1" w:rsidRPr="00F33AE1" w:rsidRDefault="00F33AE1" w:rsidP="00F33AE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33AE1" w:rsidRPr="00F33AE1" w:rsidRDefault="00F33AE1" w:rsidP="00F33AE1">
      <w:pPr>
        <w:rPr>
          <w:rFonts w:ascii="Times New Roman" w:eastAsia="Calibri" w:hAnsi="Times New Roman" w:cs="Times New Roman"/>
          <w:sz w:val="28"/>
          <w:szCs w:val="28"/>
        </w:rPr>
      </w:pPr>
    </w:p>
    <w:p w:rsidR="00075423" w:rsidRPr="00F33AE1" w:rsidRDefault="00075423" w:rsidP="00F33AE1"/>
    <w:sectPr w:rsidR="00075423" w:rsidRPr="00F3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1FFD"/>
    <w:multiLevelType w:val="multilevel"/>
    <w:tmpl w:val="C96A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332C55"/>
    <w:multiLevelType w:val="multilevel"/>
    <w:tmpl w:val="CADE4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293BB8"/>
    <w:multiLevelType w:val="multilevel"/>
    <w:tmpl w:val="8572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2D5DA4"/>
    <w:multiLevelType w:val="multilevel"/>
    <w:tmpl w:val="4660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9643BC"/>
    <w:multiLevelType w:val="multilevel"/>
    <w:tmpl w:val="88C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615F4E"/>
    <w:multiLevelType w:val="multilevel"/>
    <w:tmpl w:val="02F6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F35041"/>
    <w:multiLevelType w:val="multilevel"/>
    <w:tmpl w:val="1ECE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CA6AE1"/>
    <w:multiLevelType w:val="multilevel"/>
    <w:tmpl w:val="F578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705DAD"/>
    <w:multiLevelType w:val="multilevel"/>
    <w:tmpl w:val="1B60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8434CD"/>
    <w:multiLevelType w:val="multilevel"/>
    <w:tmpl w:val="FED0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002C3D"/>
    <w:multiLevelType w:val="multilevel"/>
    <w:tmpl w:val="B894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3761BC"/>
    <w:multiLevelType w:val="multilevel"/>
    <w:tmpl w:val="6FFE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AD01F4"/>
    <w:multiLevelType w:val="hybridMultilevel"/>
    <w:tmpl w:val="0560A094"/>
    <w:lvl w:ilvl="0" w:tplc="10C6E71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E1"/>
    <w:rsid w:val="00075423"/>
    <w:rsid w:val="00F3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2248</Words>
  <Characters>12820</Characters>
  <Application>Microsoft Office Word</Application>
  <DocSecurity>0</DocSecurity>
  <Lines>106</Lines>
  <Paragraphs>30</Paragraphs>
  <ScaleCrop>false</ScaleCrop>
  <Company/>
  <LinksUpToDate>false</LinksUpToDate>
  <CharactersWithSpaces>15038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us1</cp:lastModifiedBy>
  <cp:revision>2</cp:revision>
  <dcterms:created xsi:type="dcterms:W3CDTF">2021-02-09T07:46:00Z</dcterms:created>
  <dcterms:modified xsi:type="dcterms:W3CDTF">2021-02-09T07:48:00Z</dcterms:modified>
</cp:coreProperties>
</file>